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F172A"/>
          <w:sz w:val="38"/>
        </w:rPr>
        <w:t>MD. ABDULLAH AL OWASI</w:t>
      </w:r>
    </w:p>
    <w:p>
      <w:pPr>
        <w:spacing w:after="40"/>
        <w:jc w:val="center"/>
      </w:pPr>
      <w:r>
        <w:rPr>
          <w:b/>
          <w:color w:val="0F8A67"/>
          <w:sz w:val="19"/>
        </w:rPr>
        <w:t>Technology Risk &amp; AI Governance | GRC · Security Compliance · TPRM</w:t>
      </w:r>
    </w:p>
    <w:p>
      <w:pPr>
        <w:spacing w:after="160"/>
        <w:jc w:val="center"/>
      </w:pPr>
      <w:r>
        <w:rPr>
          <w:color w:val="475569"/>
          <w:sz w:val="16"/>
        </w:rPr>
        <w:t>Kuala Lumpur, Malaysia  |  abdullahalowasi369@gmail.com  |  linkedin.com/in/md-abdullah-al-owasi  |  aaowasi369v9.pages.dev</w:t>
      </w:r>
    </w:p>
    <w:p>
      <w:pPr>
        <w:spacing w:before="100" w:after="60"/>
        <w:pBdr>
          <w:bottom w:val="single" w:sz="8" w:space="2" w:color="D7E2DE"/>
        </w:pBdr>
      </w:pPr>
      <w:r>
        <w:rPr>
          <w:b/>
          <w:color w:val="0F8A67"/>
          <w:sz w:val="18"/>
        </w:rPr>
        <w:t>PROFESSIONAL SUMMARY</w:t>
      </w:r>
    </w:p>
    <w:p>
      <w:pPr>
        <w:spacing w:after="80"/>
      </w:pPr>
      <w:r>
        <w:rPr>
          <w:sz w:val="18"/>
        </w:rPr>
        <w:t>Technology Risk and AI Governance practitioner with an evidence-led portfolio spanning control assurance, third-party risk, customer security diligence, AI risk assessment and executive risk reporting. Designed 10 governance systems including a 15-domain control/evidence architecture, 15-use-case AI governance register, 20-question vendor-risk assessment and 25-question customer-assurance knowledge base. Applies Governance, Risk and Compliance (GRC), NIST AI Risk Management Framework (AI RMF), ISO/IEC 27001, SOC 2 Trust Services Criteria (TSC), ISO/IEC 42001, EU AI Act transparency concepts and GDPR Article 28 through traceable requirement → control → evidence → exception → residual risk → decision workflows.</w:t>
      </w:r>
    </w:p>
    <w:p>
      <w:pPr>
        <w:spacing w:before="100" w:after="60"/>
        <w:pBdr>
          <w:bottom w:val="single" w:sz="8" w:space="2" w:color="D7E2DE"/>
        </w:pBdr>
      </w:pPr>
      <w:r>
        <w:rPr>
          <w:b/>
          <w:color w:val="0F8A67"/>
          <w:sz w:val="18"/>
        </w:rPr>
        <w:t>CORE SKILLS</w:t>
      </w:r>
    </w:p>
    <w:p>
      <w:pPr>
        <w:spacing w:after="80"/>
      </w:pPr>
      <w:r>
        <w:rPr>
          <w:color w:val="475569"/>
          <w:sz w:val="17"/>
        </w:rPr>
        <w:t>Technology Risk Management | Governance, Risk and Compliance (GRC) | Control Assurance | Control Evidence | Audit Readiness | Risk Registers | Risk Treatment | Remediation Tracking | Third-Party Risk Management (TPRM) | Vendor Risk Assessment | Customer Security Assurance | Security Questionnaires | NIST AI RMF | AI Governance | ISO/IEC 27001:2022 | SOC 2 TSC | ISO/IEC 42001:2023 | EU AI Act | GDPR Article 28 | Policy &amp; Standards | KRIs &amp; Executive Reporting | Python | SQL | TypeScript | Git/GitHub</w:t>
      </w:r>
    </w:p>
    <w:p>
      <w:pPr>
        <w:spacing w:before="100" w:after="60"/>
        <w:pBdr>
          <w:bottom w:val="single" w:sz="8" w:space="2" w:color="D7E2DE"/>
        </w:pBdr>
      </w:pPr>
      <w:r>
        <w:rPr>
          <w:b/>
          <w:color w:val="0F8A67"/>
          <w:sz w:val="18"/>
        </w:rPr>
        <w:t>SELECTED GOVERNANCE PROJECTS</w:t>
      </w:r>
    </w:p>
    <w:p>
      <w:pPr>
        <w:spacing w:before="40" w:after="0"/>
      </w:pPr>
      <w:r>
        <w:rPr>
          <w:b/>
          <w:sz w:val="18"/>
        </w:rPr>
        <w:t>Enterprise Assurance &amp; Customer Security Architecture | SOC 2 · ISO 27001 · GDPR</w:t>
      </w:r>
    </w:p>
    <w:p>
      <w:pPr>
        <w:pStyle w:val="ListBullet"/>
        <w:spacing w:after="28"/>
        <w:ind w:left="259" w:hanging="173"/>
      </w:pPr>
      <w:r>
        <w:rPr>
          <w:sz w:val="18"/>
        </w:rPr>
        <w:t>Architected a 15-domain control-and-evidence model linking buyer diligence questions to evidence paths, accountable owners, review cadence, exceptions and remediation decisions.</w:t>
      </w:r>
    </w:p>
    <w:p>
      <w:pPr>
        <w:pStyle w:val="ListBullet"/>
        <w:spacing w:after="28"/>
        <w:ind w:left="259" w:hanging="173"/>
      </w:pPr>
      <w:r>
        <w:rPr>
          <w:sz w:val="18"/>
        </w:rPr>
        <w:t>Built a 25-question customer-assurance knowledge base across identity, encryption, incidents, subprocessors, retention, AI data use and control evidence.</w:t>
      </w:r>
    </w:p>
    <w:p>
      <w:pPr>
        <w:spacing w:before="40" w:after="0"/>
      </w:pPr>
      <w:r>
        <w:rPr>
          <w:b/>
          <w:sz w:val="18"/>
        </w:rPr>
        <w:t>AI Governance Decision Architecture | NIST AI RMF · ISO 42001 · EU AI Act</w:t>
      </w:r>
    </w:p>
    <w:p>
      <w:pPr>
        <w:pStyle w:val="ListBullet"/>
        <w:spacing w:after="28"/>
        <w:ind w:left="259" w:hanging="173"/>
      </w:pPr>
      <w:r>
        <w:rPr>
          <w:sz w:val="18"/>
        </w:rPr>
        <w:t>Mapped 15 AI use cases across purpose, data classes, stakeholders, human oversight, inherent risk, controls, residual risk, monitoring and NIST AI RMF Govern/Map/Measure/Manage functions.</w:t>
      </w:r>
    </w:p>
    <w:p>
      <w:pPr>
        <w:pStyle w:val="ListBullet"/>
        <w:spacing w:after="28"/>
        <w:ind w:left="259" w:hanging="173"/>
      </w:pPr>
      <w:r>
        <w:rPr>
          <w:sz w:val="18"/>
        </w:rPr>
        <w:t>Designed transparency decision logic for interactive and synthetic AI use cases, including applicability, disclosure, content-marking and accountable-owner fields.</w:t>
      </w:r>
    </w:p>
    <w:p>
      <w:pPr>
        <w:spacing w:before="40" w:after="0"/>
      </w:pPr>
      <w:r>
        <w:rPr>
          <w:b/>
          <w:sz w:val="18"/>
        </w:rPr>
        <w:t>Third-Party Risk Decision System | TPRM · Vendor Risk · GDPR Article 28</w:t>
      </w:r>
    </w:p>
    <w:p>
      <w:pPr>
        <w:pStyle w:val="ListBullet"/>
        <w:spacing w:after="28"/>
        <w:ind w:left="259" w:hanging="173"/>
      </w:pPr>
      <w:r>
        <w:rPr>
          <w:sz w:val="18"/>
        </w:rPr>
        <w:t>Designed a 20-question vendor-risk assessment and modeled 10 vendors from public assurance evidence using criticality, data exposure, contractual obligations and residual-risk treatment.</w:t>
      </w:r>
    </w:p>
    <w:p>
      <w:pPr>
        <w:pStyle w:val="ListBullet"/>
        <w:spacing w:after="28"/>
        <w:ind w:left="259" w:hanging="173"/>
      </w:pPr>
      <w:r>
        <w:rPr>
          <w:sz w:val="18"/>
        </w:rPr>
        <w:t>Structured approve, remediate, accept and reject decision states for AI, cloud, collaboration and developer-platform provider scenarios.</w:t>
      </w:r>
    </w:p>
    <w:p>
      <w:pPr>
        <w:spacing w:before="40" w:after="0"/>
      </w:pPr>
      <w:r>
        <w:rPr>
          <w:b/>
          <w:sz w:val="18"/>
        </w:rPr>
        <w:t>Control Assurance &amp; Executive Risk System | Controls · Evidence · KRIs</w:t>
      </w:r>
    </w:p>
    <w:p>
      <w:pPr>
        <w:pStyle w:val="ListBullet"/>
        <w:spacing w:after="28"/>
        <w:ind w:left="259" w:hanging="173"/>
      </w:pPr>
      <w:r>
        <w:rPr>
          <w:sz w:val="18"/>
        </w:rPr>
        <w:t>Created a 15-domain control inventory connecting control intent to evidence, cadence, owner, test procedure, exception, remediation and retest state.</w:t>
      </w:r>
    </w:p>
    <w:p>
      <w:pPr>
        <w:pStyle w:val="ListBullet"/>
        <w:spacing w:after="28"/>
        <w:ind w:left="259" w:hanging="173"/>
      </w:pPr>
      <w:r>
        <w:rPr>
          <w:sz w:val="18"/>
        </w:rPr>
        <w:t>Built a 15-risk executive register with likelihood, impact, treatment, residual risk, KRI, threshold and escalation logic.</w:t>
      </w:r>
    </w:p>
    <w:p>
      <w:pPr>
        <w:spacing w:before="100" w:after="60"/>
        <w:pBdr>
          <w:bottom w:val="single" w:sz="8" w:space="2" w:color="D7E2DE"/>
        </w:pBdr>
      </w:pPr>
      <w:r>
        <w:rPr>
          <w:b/>
          <w:color w:val="0F8A67"/>
          <w:sz w:val="18"/>
        </w:rPr>
        <w:t>TECHNICAL SYSTEMS</w:t>
      </w:r>
    </w:p>
    <w:p>
      <w:pPr>
        <w:spacing w:after="60"/>
      </w:pPr>
      <w:r>
        <w:rPr>
          <w:color w:val="475569"/>
          <w:sz w:val="17"/>
        </w:rPr>
        <w:t>Python for structured data and repeatable governance artifact workflows | SQL / data modeling for risk and evidence inventories | TypeScript / React / Next.js for typed decision interfaces | Git / GitHub for version control, traceability and repository delivery</w:t>
      </w:r>
    </w:p>
    <w:p>
      <w:pPr>
        <w:spacing w:before="100" w:after="60"/>
        <w:pBdr>
          <w:bottom w:val="single" w:sz="8" w:space="2" w:color="D7E2DE"/>
        </w:pBdr>
      </w:pPr>
      <w:r>
        <w:rPr>
          <w:b/>
          <w:color w:val="0F8A67"/>
          <w:sz w:val="18"/>
        </w:rPr>
        <w:t>EDUCATION</w:t>
      </w:r>
    </w:p>
    <w:p>
      <w:pPr>
        <w:spacing w:after="0"/>
      </w:pPr>
      <w:r>
        <w:rPr>
          <w:b/>
          <w:sz w:val="18"/>
        </w:rPr>
        <w:t>SEGi University, Malaysia | Bachelor of Computer Science (Hons) — AI &amp; Cybersecurity Specialization</w:t>
      </w:r>
    </w:p>
    <w:p>
      <w:pPr>
        <w:spacing w:after="0"/>
      </w:pPr>
      <w:r>
        <w:rPr>
          <w:color w:val="475569"/>
          <w:sz w:val="17"/>
        </w:rPr>
        <w:t>Systems foundation: software engineering, data structures, databases, automation and technical problem decomposition applied to governance and technology-risk work.</w:t>
      </w:r>
    </w:p>
    <w:sectPr w:rsidR="00FC693F" w:rsidRPr="0006063C" w:rsidSect="00034616">
      <w:pgSz w:w="12240" w:h="15840"/>
      <w:pgMar w:top="605" w:right="691" w:bottom="605" w:left="6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color w:val="0F172A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F8A67"/>
      <w:sz w:val="2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F172A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0F172A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0F172A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